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96"/>
        <w:gridCol w:w="6622"/>
      </w:tblGrid>
      <w:tr w:rsidR="002A3270" w:rsidRPr="00FF6738" w14:paraId="1949B297" w14:textId="77777777" w:rsidTr="00277DDF">
        <w:trPr>
          <w:tblHeader/>
        </w:trPr>
        <w:tc>
          <w:tcPr>
            <w:tcW w:w="8552" w:type="dxa"/>
            <w:gridSpan w:val="2"/>
            <w:shd w:val="clear" w:color="auto" w:fill="D9D9D9" w:themeFill="background1" w:themeFillShade="D9"/>
          </w:tcPr>
          <w:p w14:paraId="77D3F422" w14:textId="77777777" w:rsidR="002A3270" w:rsidRPr="00FF6738" w:rsidRDefault="002A3270" w:rsidP="009B62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br/>
              <w:t xml:space="preserve">na podstawie obowiązku prawnego ciążącego na administratorze (przetwarzanie 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w związku z ustawą z dnia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września 2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>01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="007B3915">
              <w:rPr>
                <w:rFonts w:ascii="Arial" w:hAnsi="Arial" w:cs="Arial"/>
                <w:b/>
                <w:sz w:val="26"/>
                <w:szCs w:val="26"/>
              </w:rPr>
              <w:t xml:space="preserve"> r. o </w:t>
            </w:r>
            <w:r w:rsidR="009B627F">
              <w:rPr>
                <w:rFonts w:ascii="Arial" w:hAnsi="Arial" w:cs="Arial"/>
                <w:b/>
                <w:sz w:val="26"/>
                <w:szCs w:val="26"/>
              </w:rPr>
              <w:t>ewidencji ludności</w:t>
            </w:r>
            <w:r w:rsidRPr="00FF6738"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</w:tr>
      <w:tr w:rsidR="002A3270" w:rsidRPr="00FF6738" w14:paraId="4A04836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B55169C" w14:textId="77777777" w:rsidR="002A3270" w:rsidRPr="00FF6738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FF6738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4A512AA6" w14:textId="77777777" w:rsidR="00327FED" w:rsidRDefault="00327FE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26DE0330" w14:textId="3CE66A42" w:rsidR="007162E7" w:rsidRPr="0043188E" w:rsidRDefault="009C1C42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Burmistrz</w:t>
            </w:r>
            <w:r w:rsidR="00711D57">
              <w:rPr>
                <w:rFonts w:ascii="Arial" w:hAnsi="Arial" w:cs="Arial"/>
                <w:sz w:val="18"/>
                <w:szCs w:val="18"/>
              </w:rPr>
              <w:t xml:space="preserve"> Dobrzan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D57">
              <w:rPr>
                <w:rFonts w:ascii="Arial" w:hAnsi="Arial" w:cs="Arial"/>
                <w:sz w:val="18"/>
                <w:szCs w:val="18"/>
              </w:rPr>
              <w:t>ul. Staszica 1, 73-130 Dobrzany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Pr="0043188E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="00770E7F" w:rsidRPr="0043188E">
              <w:rPr>
                <w:rFonts w:ascii="Arial" w:hAnsi="Arial" w:cs="Arial"/>
                <w:sz w:val="18"/>
                <w:szCs w:val="18"/>
              </w:rPr>
              <w:t xml:space="preserve">w rejestrze PESEL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prowadzenia i przetwarzania danych w rejestrze mieszkańców oraz przechowywanej przez Burmistrza</w:t>
            </w:r>
            <w:r w:rsidR="00711D57">
              <w:rPr>
                <w:rFonts w:ascii="Arial" w:hAnsi="Arial" w:cs="Arial"/>
                <w:sz w:val="18"/>
                <w:szCs w:val="18"/>
              </w:rPr>
              <w:t xml:space="preserve"> Dobrzan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 xml:space="preserve"> dokumentacji pisemnej;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2D1CF5" w14:textId="001C473A" w:rsidR="002A3270" w:rsidRPr="0043188E" w:rsidRDefault="002A3270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Cyfryzacji, mający siedzibę w Warszawie (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00-060) przy ul. Królewskiej 27 – odpowiada za </w:t>
            </w:r>
            <w:r w:rsidR="007518E1" w:rsidRPr="0043188E">
              <w:rPr>
                <w:rFonts w:ascii="Arial" w:hAnsi="Arial" w:cs="Arial"/>
                <w:sz w:val="18"/>
                <w:szCs w:val="18"/>
              </w:rPr>
              <w:t xml:space="preserve">nadawanie numeru PESEL oraz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>utrzymanie i rozwój rejestru</w:t>
            </w:r>
            <w:r w:rsidR="005E7F0D" w:rsidRPr="0043188E">
              <w:rPr>
                <w:rFonts w:ascii="Arial" w:hAnsi="Arial" w:cs="Arial"/>
                <w:sz w:val="18"/>
                <w:szCs w:val="18"/>
              </w:rPr>
              <w:t xml:space="preserve"> PESEL</w:t>
            </w:r>
            <w:r w:rsidR="00093D47" w:rsidRPr="0043188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3BCB8A6" w14:textId="661F10DD" w:rsidR="005D6F23" w:rsidRPr="009D57A8" w:rsidRDefault="00327FED" w:rsidP="0014204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 (02-591) przy ul S</w:t>
            </w:r>
            <w:r w:rsidR="009C1C42" w:rsidRPr="0043188E">
              <w:rPr>
                <w:rFonts w:ascii="Arial" w:hAnsi="Arial" w:cs="Arial"/>
                <w:sz w:val="18"/>
                <w:szCs w:val="18"/>
              </w:rPr>
              <w:t xml:space="preserve">tefana Batorego 5 – odpowiada za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kształtowanie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jednolitych zasad postępowania w kraju w </w:t>
            </w:r>
            <w:r w:rsidR="00614C62" w:rsidRPr="0043188E">
              <w:rPr>
                <w:rFonts w:ascii="Arial" w:hAnsi="Arial" w:cs="Arial"/>
                <w:sz w:val="18"/>
                <w:szCs w:val="18"/>
              </w:rPr>
              <w:t xml:space="preserve">zakresie </w:t>
            </w:r>
            <w:r w:rsidR="006A74DF" w:rsidRPr="0043188E">
              <w:rPr>
                <w:rFonts w:ascii="Arial" w:hAnsi="Arial" w:cs="Arial"/>
                <w:sz w:val="18"/>
                <w:szCs w:val="18"/>
              </w:rPr>
              <w:t xml:space="preserve">ewidencji ludności </w:t>
            </w:r>
            <w:r w:rsidR="0044172A" w:rsidRPr="0043188E">
              <w:rPr>
                <w:rFonts w:ascii="Arial" w:hAnsi="Arial" w:cs="Arial"/>
                <w:sz w:val="18"/>
                <w:szCs w:val="18"/>
              </w:rPr>
              <w:t>oraz zapewnia funkcjonowanie wydzielonej sieci umożliwiającej dostęp do rejestru PESEL</w:t>
            </w:r>
            <w:r w:rsidR="0014204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A3270" w:rsidRPr="00FF6738" w14:paraId="1392BFB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A312098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39BC2077" w14:textId="6B36465C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Burmistrzem</w:t>
            </w:r>
            <w:r w:rsidR="00711D57">
              <w:rPr>
                <w:rFonts w:ascii="Arial" w:hAnsi="Arial" w:cs="Arial"/>
                <w:sz w:val="18"/>
                <w:szCs w:val="18"/>
              </w:rPr>
              <w:t xml:space="preserve"> Dobrzan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4C62">
              <w:rPr>
                <w:rFonts w:ascii="Arial" w:hAnsi="Arial" w:cs="Arial"/>
                <w:sz w:val="18"/>
                <w:szCs w:val="18"/>
              </w:rPr>
              <w:t>można się skontaktować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6DC2">
              <w:rPr>
                <w:rFonts w:ascii="Arial" w:hAnsi="Arial" w:cs="Arial"/>
                <w:sz w:val="18"/>
                <w:szCs w:val="18"/>
              </w:rPr>
              <w:t>pisemnie na adres siedziby administratora</w:t>
            </w:r>
          </w:p>
          <w:p w14:paraId="01364662" w14:textId="77777777" w:rsidR="0044172A" w:rsidRDefault="0044172A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A36C637" w14:textId="77777777" w:rsidR="002A3270" w:rsidRDefault="002A3270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można się skontaktować poprzez adres email </w:t>
            </w:r>
            <w:r w:rsidR="008F4711" w:rsidRPr="008F4711">
              <w:rPr>
                <w:rFonts w:ascii="Arial" w:hAnsi="Arial" w:cs="Arial"/>
                <w:sz w:val="18"/>
                <w:szCs w:val="18"/>
              </w:rPr>
              <w:t>iod@mc.gov.pl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="00445810" w:rsidRPr="00E549FD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FF6738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14:paraId="425EF0B1" w14:textId="77777777" w:rsidR="005D6F23" w:rsidRDefault="005D6F23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F448AEF" w14:textId="77777777" w:rsidR="00A62BE2" w:rsidRPr="009D57A8" w:rsidRDefault="00614C62" w:rsidP="00142043">
            <w:pPr>
              <w:pStyle w:val="Akapitzlist"/>
              <w:spacing w:line="276" w:lineRule="auto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</w:t>
            </w:r>
            <w:r w:rsidRPr="00614C62">
              <w:rPr>
                <w:rFonts w:ascii="Arial" w:hAnsi="Arial" w:cs="Arial"/>
                <w:sz w:val="18"/>
                <w:szCs w:val="18"/>
              </w:rPr>
              <w:t xml:space="preserve">można się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skontaktować </w:t>
            </w:r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poprzez adres mail </w:t>
            </w:r>
            <w:hyperlink r:id="rId6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iod@mswia.gov.pl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formularz kontaktory pod adresem </w:t>
            </w:r>
            <w:hyperlink r:id="rId7" w:history="1">
              <w:r w:rsidR="00BA2176" w:rsidRPr="0043188E">
                <w:rPr>
                  <w:rStyle w:val="Hipercze"/>
                  <w:rFonts w:ascii="Arial" w:hAnsi="Arial" w:cs="Arial"/>
                  <w:color w:val="000000" w:themeColor="text1"/>
                  <w:sz w:val="18"/>
                  <w:szCs w:val="18"/>
                </w:rPr>
                <w:t>https://www.gov.pl/web/mswia/formularz-kontaktowy</w:t>
              </w:r>
            </w:hyperlink>
            <w:r w:rsidR="00BA2176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pisemnie na adres siedziby administratora</w:t>
            </w:r>
            <w:r w:rsidR="005D6F23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F98E54F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FD11DC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14713145" w14:textId="6EE8918C" w:rsidR="0044172A" w:rsidRDefault="0044172A" w:rsidP="00711D5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711D57">
              <w:rPr>
                <w:rFonts w:ascii="Arial" w:hAnsi="Arial" w:cs="Arial"/>
                <w:sz w:val="18"/>
                <w:szCs w:val="18"/>
              </w:rPr>
              <w:t>Burmistrz Dobrzan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</w:t>
            </w:r>
            <w:r>
              <w:rPr>
                <w:rFonts w:ascii="Arial" w:hAnsi="Arial" w:cs="Arial"/>
                <w:sz w:val="18"/>
                <w:szCs w:val="18"/>
              </w:rPr>
              <w:t xml:space="preserve">ć poprzez </w:t>
            </w:r>
            <w:r w:rsidR="00711D57">
              <w:rPr>
                <w:rFonts w:ascii="Arial" w:hAnsi="Arial" w:cs="Arial"/>
                <w:sz w:val="18"/>
                <w:szCs w:val="18"/>
              </w:rPr>
              <w:t>email iod@data.pl</w:t>
            </w:r>
          </w:p>
          <w:p w14:paraId="557BD7D7" w14:textId="77777777" w:rsidR="0044172A" w:rsidRDefault="0044172A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B1440A7" w14:textId="6057254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Administrator </w:t>
            </w:r>
            <w:r>
              <w:rPr>
                <w:rFonts w:ascii="Arial" w:hAnsi="Arial" w:cs="Arial"/>
                <w:sz w:val="18"/>
                <w:szCs w:val="18"/>
              </w:rPr>
              <w:t xml:space="preserve">– Minister Cyfryzacji </w:t>
            </w:r>
            <w:r w:rsidRPr="00FF6738">
              <w:rPr>
                <w:rFonts w:ascii="Arial" w:hAnsi="Arial" w:cs="Arial"/>
                <w:sz w:val="18"/>
                <w:szCs w:val="18"/>
              </w:rPr>
              <w:t>wyznaczył inspektora ochrony danych,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z którym może się Pani / Pan skontaktować poprzez email iod@</w:t>
            </w:r>
            <w:r w:rsidR="008F4711">
              <w:rPr>
                <w:rFonts w:ascii="Arial" w:hAnsi="Arial" w:cs="Arial"/>
                <w:sz w:val="18"/>
                <w:szCs w:val="18"/>
              </w:rPr>
              <w:t>mc.gov.pl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42043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23010F93" w14:textId="77777777" w:rsidR="0002187D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ABF4A1F" w14:textId="77777777" w:rsidR="005D6F23" w:rsidRDefault="0002187D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>Administrator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Minister Spraw Wewnętrznych i Administracji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email </w:t>
            </w:r>
            <w:hyperlink r:id="rId8" w:history="1">
              <w:r w:rsidR="00066DC2" w:rsidRPr="001C2054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="00066D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14:paraId="178B91A8" w14:textId="77777777" w:rsidR="00A62BE2" w:rsidRDefault="00A62BE2" w:rsidP="00142043">
            <w:p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14:paraId="605FA063" w14:textId="0A3E0DE1" w:rsidR="00A62BE2" w:rsidRPr="00FF6738" w:rsidRDefault="00A62BE2" w:rsidP="0014204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F6738">
              <w:rPr>
                <w:rFonts w:ascii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hAnsi="Arial" w:cs="Arial"/>
                <w:sz w:val="18"/>
                <w:szCs w:val="18"/>
              </w:rPr>
              <w:t>każdym z wymienionych inspektorów</w:t>
            </w:r>
            <w:r w:rsidRPr="00FF6738">
              <w:rPr>
                <w:rFonts w:ascii="Arial" w:hAnsi="Arial" w:cs="Arial"/>
                <w:sz w:val="18"/>
                <w:szCs w:val="18"/>
              </w:rPr>
              <w:t xml:space="preserve"> ochrony danych można się kontaktować we wszystkich sprawach dotyczących przetwarzania danych osobowych oraz korzystania z praw zwi</w:t>
            </w:r>
            <w:r>
              <w:rPr>
                <w:rFonts w:ascii="Arial" w:hAnsi="Arial" w:cs="Arial"/>
                <w:sz w:val="18"/>
                <w:szCs w:val="18"/>
              </w:rPr>
              <w:t>ązanych z przetwarzaniem danych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które pozostają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jego zakresie działania</w:t>
            </w:r>
            <w:r w:rsidR="00033D6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7D18A0DC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7A1DE64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57DD823C" w14:textId="71F61EA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 / Pana dane będą przetwarzane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podstawie art. 6 ust. 1 lit. c Rozporządzenia Parlamentu Europejskiego i Rady (UE) 2016/679 z dnia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      </w:r>
            <w:proofErr w:type="spellStart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późn</w:t>
            </w:r>
            <w:proofErr w:type="spellEnd"/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zm.) (dalej: RODO)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</w:t>
            </w:r>
            <w:r w:rsidR="00CD507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związku z przepisem szczególnym ustawy;</w:t>
            </w:r>
          </w:p>
          <w:p w14:paraId="67DA24D1" w14:textId="27A12152" w:rsidR="00CE4C32" w:rsidRPr="0043188E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rzez </w:t>
            </w:r>
            <w:r w:rsidR="00711D57">
              <w:rPr>
                <w:rFonts w:ascii="Arial" w:hAnsi="Arial" w:cs="Arial"/>
                <w:color w:val="000000" w:themeColor="text1"/>
                <w:sz w:val="18"/>
                <w:szCs w:val="18"/>
              </w:rPr>
              <w:t>Burmistrza Dobrzan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- w celu wprowadzenia Pani/Pana danych do rejestru PESEL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udostępniania z niego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</w:t>
            </w:r>
            <w:r w:rsidR="00FA68D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danych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prowadzenia rejestru mieszkańców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na podstawie art. 6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a, art. 10, art.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11 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art. 50 ust. 1 pkt 2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ustawy o ewidencji ludności</w:t>
            </w:r>
          </w:p>
          <w:p w14:paraId="36C34AC8" w14:textId="16A2B4D7" w:rsidR="007A4048" w:rsidRPr="003C785B" w:rsidRDefault="007518E1" w:rsidP="00142043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rzez Ministra Cyfryzacji i Ministra Spraw Wewnętrznych i Administracji – w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celu prowadzenia ewidencji ludności 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na terenie Rzeczypospolitej Polskiej </w:t>
            </w:r>
            <w:r w:rsidR="00CE4C3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na podstawie danych identyfikujących tożsamość oraz status administracyjnoprawny osób fizycznych wprowadzanych do rejestru PESEL</w:t>
            </w:r>
            <w:r w:rsidR="004417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– na podstawie art. 2, art.</w:t>
            </w:r>
            <w:r w:rsidR="005F75E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5 ust. 3 i 4 oraz art. 6 ust. 2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ustawy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 ewidencji ludności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</w:tr>
      <w:tr w:rsidR="002A3270" w:rsidRPr="00FF6738" w14:paraId="4B3E2F5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34E01FB1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14:paraId="152CA83D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6D3EE4F4" w14:textId="77777777" w:rsidR="009B08FC" w:rsidRPr="0043188E" w:rsidRDefault="009B08FC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Odbiorcami danych są podmioty przetwarzające dane:</w:t>
            </w:r>
          </w:p>
          <w:p w14:paraId="20E258B5" w14:textId="723B2D16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Centrum Personalizacji Dokumentów – w zakresie udostępniania danych z rejestru PESEL w imieniu Ministra Spraw Wewnętrznych i Administracji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zakresie </w:t>
            </w:r>
            <w:r w:rsidR="00BF0DB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wniosków o udostę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pnienie danych złożonych przed 1 lipca 2019 r.</w:t>
            </w:r>
          </w:p>
          <w:p w14:paraId="2671D92B" w14:textId="77777777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Centralny Ośrodek Informatyki – w zakresie technicznego utrzymania rejestru PESEL i jego rozwoju w imieniu Ministra Cyfryzacji</w:t>
            </w:r>
          </w:p>
          <w:p w14:paraId="78A5100C" w14:textId="6F330079" w:rsidR="007A4048" w:rsidRPr="0043188E" w:rsidRDefault="007A4048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 świadczący usługi w zakresie utrzymania i serwisu systemu obsługującego rejestr mieszkańców (dane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podmiotu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 uzupełnienia przez organ gminy)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6F659CDC" w14:textId="77777777" w:rsidR="00E57437" w:rsidRPr="0043188E" w:rsidRDefault="00E5743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283F918B" w14:textId="2EED065E" w:rsidR="004041F5" w:rsidRPr="0043188E" w:rsidRDefault="00EE209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/Pana dane osobowe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="00857F2A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F4642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się </w:t>
            </w:r>
            <w:r w:rsidR="002A327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</w:t>
            </w:r>
            <w:r w:rsidR="0015423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9BF5172" w14:textId="7777777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służbom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organom administracji publicznej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sądom i prokuraturze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komornikom sądowym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państwowym i samorządowym jednostkom organizacyjnym oraz innym</w:t>
            </w:r>
            <w:r w:rsidR="0089001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podmiotom – w zakresie niezbędnym do realizacji zadań publicznych</w:t>
            </w:r>
            <w:r w:rsidR="006216E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2BA454FD" w14:textId="266746C7" w:rsidR="004041F5" w:rsidRPr="0043188E" w:rsidRDefault="0015423E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osobom i jednostkom organizacyjnym, jeżeli wykażą w tym interes prawny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5A5D27D4" w14:textId="6A972D4B" w:rsidR="000C4FF8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osobom i jednostkom organizacyjnym, jeżeli wykażą w tym interes </w:t>
            </w:r>
            <w:r w:rsidR="000C4FF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faktyczny w otrzymaniu danych, pod warunkiem u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zyskania zgody Pani /Pana zgody;</w:t>
            </w:r>
          </w:p>
          <w:p w14:paraId="42CDD984" w14:textId="44B1933A" w:rsidR="009B08FC" w:rsidRPr="0043188E" w:rsidRDefault="009B08FC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jednostkom organizacyjnym, w celach badawczych, statystycznych, badania opinii publicznej, jeżeli po wykorzystaniu dane te zostaną poddane takiej modyfikacji, która nie pozwoli ustalić tożsamości osób, których dane dotyczą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0502BF9" w14:textId="77777777" w:rsidR="004041F5" w:rsidRPr="0043188E" w:rsidRDefault="000C4FF8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przez</w:t>
            </w:r>
            <w:r w:rsidR="004041F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3EB3BF68" w14:textId="122BB946" w:rsidR="000C4FF8" w:rsidRPr="0043188E" w:rsidRDefault="00711D57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Burmistrz Dobrzan</w:t>
            </w:r>
            <w:bookmarkStart w:id="0" w:name="_GoBack"/>
            <w:bookmarkEnd w:id="0"/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z rejestru mieszkańców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trybie indywidualnych zapytań oraz zapewnienia do danych dostępu online -</w:t>
            </w:r>
            <w:r w:rsidR="009B08FC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podmiotom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powyżej w pkt 1-4</w:t>
            </w:r>
            <w:r w:rsidR="008F584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z rejestru PESEL w trybie indywidualnych zapyta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ń podmiotom wskazanym w pkt 1-3;</w:t>
            </w:r>
          </w:p>
          <w:p w14:paraId="10C2CB5B" w14:textId="6B69F102" w:rsidR="006F081B" w:rsidRPr="0043188E" w:rsidRDefault="006F081B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Cyfryzacji – z rejestru PESEL w trybie zapewnienia do danych dostępu online - podmiotom wskazanym powyżej w pkt 1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oraz w trybie indywidualnych zapytań </w:t>
            </w:r>
            <w:r w:rsidR="00A67ED8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podmiotom </w:t>
            </w:r>
            <w:r w:rsidR="00C2081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wskazanym w pkt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4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;</w:t>
            </w:r>
          </w:p>
          <w:p w14:paraId="2289968A" w14:textId="09261FE8" w:rsidR="00770061" w:rsidRPr="0043188E" w:rsidRDefault="004041F5" w:rsidP="00142043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Ministra Spraw Wewnętrznych i Administracji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-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 rejestru PESEL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</w:t>
            </w:r>
            <w:r w:rsidR="00B20F2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zakresie wniosków o udostepnienie danych złożonych przed 1 lipca 2019 r., </w:t>
            </w:r>
            <w:r w:rsidR="006F081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 imieniu Ministra dane udostępnia podmiotom wskazanym powyżej w pkt 1-3 w trybie indywidualnych zapytań Centrum Personalizacji Dokumentów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  <w:p w14:paraId="1C001BFB" w14:textId="34088CAE" w:rsidR="00B20F27" w:rsidRPr="0043188E" w:rsidRDefault="00B20F2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Pani/Pana dane Wójt/Burmistrz/Prezydent miasta 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udostępnia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także stronom postępowań administracyjnych prowadzonych na podstawie ustawy o ewidencji ludności i Kodeksu postępowania administracyjnego, których jest P</w:t>
            </w:r>
            <w:r w:rsidR="00655144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an/Pani stroną lub uczestnikiem w trybie udostępnienia akt tych postępowań.</w:t>
            </w:r>
          </w:p>
        </w:tc>
      </w:tr>
      <w:tr w:rsidR="002A3270" w:rsidRPr="00FF6738" w14:paraId="50B5118E" w14:textId="77777777" w:rsidTr="00277DDF">
        <w:trPr>
          <w:trHeight w:val="525"/>
        </w:trPr>
        <w:tc>
          <w:tcPr>
            <w:tcW w:w="1930" w:type="dxa"/>
            <w:shd w:val="clear" w:color="auto" w:fill="D9D9D9" w:themeFill="background1" w:themeFillShade="D9"/>
          </w:tcPr>
          <w:p w14:paraId="2BAA2D0A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 PRZECHOWYWANIA DANYCH</w:t>
            </w:r>
          </w:p>
        </w:tc>
        <w:tc>
          <w:tcPr>
            <w:tcW w:w="6622" w:type="dxa"/>
          </w:tcPr>
          <w:p w14:paraId="3A8EA0B7" w14:textId="1C19048F" w:rsidR="00E428B9" w:rsidRPr="0043188E" w:rsidRDefault="008C706A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Zgodnie z art. 12a ustawy o ewidencji ludności </w:t>
            </w:r>
            <w:r w:rsidR="00D013E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osobowe zgromadzone w rejestrze mieszkańców oraz w rejestrze PESEL przetwarzane są bezterminowo. </w:t>
            </w:r>
          </w:p>
          <w:p w14:paraId="540EC45C" w14:textId="77777777" w:rsidR="00655144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17B8FACB" w14:textId="0A8F34D9" w:rsidR="00E428B9" w:rsidRPr="0043188E" w:rsidRDefault="00655144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Dane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zgromadzone w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formie pisemnej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są </w:t>
            </w:r>
            <w:r w:rsidR="00E428B9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przetwarzane zgodnie z klasyfikacją wynikająca z jednolitego rzeczowego wykazu akt organów gminy i związków międzygminnych oraz urzędów obsługujących te organy i związki (rozporządzenie Prezesa Rady Ministrów z dnia 18 stycznia 2011r. </w:t>
            </w:r>
            <w:hyperlink r:id="rId9" w:history="1">
              <w:r w:rsidR="00E428B9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Dz.U. Nr 14, poz. 67)</w:t>
              </w:r>
            </w:hyperlink>
            <w:r w:rsidR="00914C8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</w:t>
            </w:r>
          </w:p>
          <w:p w14:paraId="2E79FFE9" w14:textId="5B768318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z zakresu ewidencji lu</w:t>
            </w:r>
            <w:r w:rsidR="006459E0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dności po 50 latach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jest oceniana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 kątem możliwości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zniszczenia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natomiast dotycząca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aktualizacji danych </w:t>
            </w:r>
            <w:r w:rsidR="00567FB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latach;</w:t>
            </w:r>
          </w:p>
          <w:p w14:paraId="195B5009" w14:textId="6E04D686" w:rsidR="00914C8E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dokumentacja spraw meldunkowych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10 latach;</w:t>
            </w:r>
          </w:p>
          <w:p w14:paraId="076BE176" w14:textId="78D32970" w:rsidR="00BE7E52" w:rsidRPr="0043188E" w:rsidRDefault="00914C8E" w:rsidP="00142043">
            <w:pPr>
              <w:pStyle w:val="Akapitzlist"/>
              <w:numPr>
                <w:ilvl w:val="0"/>
                <w:numId w:val="1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dokumentacja spraw związanych z udostępnianiem danych i wydawaniem zaświadczeń z ewidencji ludności </w:t>
            </w:r>
            <w:r w:rsidR="00723A4E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niszczona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jest po 5 latach.</w:t>
            </w:r>
          </w:p>
        </w:tc>
      </w:tr>
      <w:tr w:rsidR="002A3270" w:rsidRPr="00FF6738" w14:paraId="00E1F304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4D6F5C7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443A0516" w14:textId="77777777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prawo dostępu do Pani/Pana danych oraz prawo żądania ich sprostowania</w:t>
            </w:r>
            <w:r w:rsidR="007C5EC5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 a także danych osób, nad którymi sprawowana jest prawna opieka, np. danych dzieci.</w:t>
            </w:r>
          </w:p>
        </w:tc>
      </w:tr>
      <w:tr w:rsidR="002A3270" w:rsidRPr="00FF6738" w14:paraId="28C886F6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773481A5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5B73C20A" w14:textId="7A784F0B" w:rsidR="002A3270" w:rsidRPr="0043188E" w:rsidRDefault="002A3270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Przysługuje Pani/Panu również prawo wniesienia skargi do organu nadzorczego</w:t>
            </w:r>
            <w:r w:rsidR="006D1FED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-</w:t>
            </w:r>
            <w:r w:rsidR="00830FC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Prezesa Urzędu Ochrony Danych Osobowych</w:t>
            </w:r>
          </w:p>
          <w:p w14:paraId="02E7F14C" w14:textId="77777777" w:rsidR="00093D47" w:rsidRPr="0043188E" w:rsidRDefault="00093D4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Biuro Prezesa Urzędu Ochrony Danych Osobowych  </w:t>
            </w:r>
          </w:p>
          <w:p w14:paraId="1720A729" w14:textId="77777777" w:rsidR="00093D47" w:rsidRPr="0043188E" w:rsidRDefault="00711D5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0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Adres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Stawki 2, 00-193 Warszawa</w:t>
            </w:r>
          </w:p>
          <w:p w14:paraId="345E82B1" w14:textId="5AB98C5D" w:rsidR="00093D47" w:rsidRPr="0043188E" w:rsidRDefault="00711D5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1" w:history="1">
              <w:r w:rsidR="00093D47" w:rsidRPr="0043188E">
                <w:rPr>
                  <w:rFonts w:ascii="Arial" w:hAnsi="Arial" w:cs="Arial"/>
                  <w:color w:val="000000" w:themeColor="text1"/>
                  <w:sz w:val="18"/>
                  <w:szCs w:val="18"/>
                </w:rPr>
                <w:t>Telefon</w:t>
              </w:r>
            </w:hyperlink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: 22 531 03 00</w:t>
            </w:r>
          </w:p>
        </w:tc>
      </w:tr>
      <w:tr w:rsidR="002109E1" w:rsidRPr="00FF6738" w14:paraId="049CE872" w14:textId="77777777" w:rsidTr="00277DDF">
        <w:tc>
          <w:tcPr>
            <w:tcW w:w="1930" w:type="dxa"/>
            <w:shd w:val="clear" w:color="auto" w:fill="D9D9D9" w:themeFill="background1" w:themeFillShade="D9"/>
          </w:tcPr>
          <w:p w14:paraId="2FEE49DC" w14:textId="77777777" w:rsidR="002109E1" w:rsidRPr="002F6592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6592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63944321" w14:textId="77777777" w:rsidR="006544EF" w:rsidRPr="0043188E" w:rsidRDefault="006544EF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Pani / Pana dane do rejestru PESEL wprowadzane są przez następujące organy:</w:t>
            </w:r>
          </w:p>
          <w:p w14:paraId="49E02A65" w14:textId="77777777" w:rsidR="006544EF" w:rsidRPr="0043188E" w:rsidRDefault="002D1E26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kierownik urzędu stanu cywilnego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sporządzający akt urodzenia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małżeństwa i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zgonu oraz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wprowadzający do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tych aktów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zmiany, a także 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6544E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decyzję o zmianie imienia lub nazwiska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,</w:t>
            </w:r>
          </w:p>
          <w:p w14:paraId="37C743A0" w14:textId="77777777" w:rsidR="0089001D" w:rsidRPr="0043188E" w:rsidRDefault="0089001D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organ gminy</w:t>
            </w:r>
            <w:r w:rsidR="00ED031F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dokonujący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rejestracji obowiązku meldunkowego,</w:t>
            </w:r>
          </w:p>
          <w:p w14:paraId="727A3048" w14:textId="77777777" w:rsidR="00277DDF" w:rsidRPr="0043188E" w:rsidRDefault="00277DDF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organ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gminy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wydający 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unieważniający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dowód 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osobisty,</w:t>
            </w:r>
          </w:p>
          <w:p w14:paraId="549B2E38" w14:textId="77777777" w:rsidR="00B66321" w:rsidRPr="0043188E" w:rsidRDefault="00B66321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konsul RP wydając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unieważniając</w:t>
            </w:r>
            <w:r w:rsidR="00614C62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paszport,</w:t>
            </w:r>
          </w:p>
          <w:p w14:paraId="6049021E" w14:textId="77777777" w:rsidR="002109E1" w:rsidRPr="0043188E" w:rsidRDefault="00614C62" w:rsidP="00142043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wojewoda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minister właściwy do spraw wewnętrznych dokonujący</w:t>
            </w:r>
            <w:r w:rsidR="00B66321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zmian w zakresie nabycia lub utraty obywatelstwa polsk</w:t>
            </w:r>
            <w:r w:rsidR="003F1DF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iego.</w:t>
            </w:r>
          </w:p>
          <w:p w14:paraId="6BE328B0" w14:textId="77777777" w:rsidR="006F081B" w:rsidRPr="0043188E" w:rsidRDefault="006F081B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Rejestr mieszkańców zasilany jest danymi z rejestru PESEL.</w:t>
            </w:r>
          </w:p>
        </w:tc>
      </w:tr>
      <w:tr w:rsidR="002A3270" w:rsidRPr="00FF6738" w14:paraId="03BD8F02" w14:textId="77777777" w:rsidTr="00277DDF">
        <w:trPr>
          <w:trHeight w:val="20"/>
        </w:trPr>
        <w:tc>
          <w:tcPr>
            <w:tcW w:w="1930" w:type="dxa"/>
            <w:shd w:val="clear" w:color="auto" w:fill="D9D9D9" w:themeFill="background1" w:themeFillShade="D9"/>
          </w:tcPr>
          <w:p w14:paraId="128DFE50" w14:textId="77777777" w:rsidR="002A3270" w:rsidRPr="00FF6738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F6738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14:paraId="6C61EC92" w14:textId="6A9BB185" w:rsidR="003C785B" w:rsidRPr="0043188E" w:rsidRDefault="003F1DF7" w:rsidP="00142043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Obowiązek podania danych osobowych wynika z ustawy o ewidencji ludności</w:t>
            </w:r>
            <w:r w:rsidR="000D7E1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(art. 8 i 10 ustawy)</w:t>
            </w:r>
            <w:r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przypadku działania na wniosek odmowa podania danych przez ich posiadacza skutkuje nie zrealizowaniem żądania nadania lub zmiany numeru PESEL, zameldowania, wymeldowania, rejestracji wyjazdu, powrotu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lub udostępnienia danych. Nie wykonanie obowiązku meldunkowego przez cudzoziemców nie będących obywatelami państwa członkowskiego UE </w:t>
            </w:r>
            <w:r w:rsidR="0014204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                   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lub członkam</w:t>
            </w:r>
            <w:r w:rsidR="00093D47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>i ich rodzin zagrożone jest karą</w:t>
            </w:r>
            <w:r w:rsidR="003C785B" w:rsidRPr="0043188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grzywny.</w:t>
            </w:r>
          </w:p>
        </w:tc>
      </w:tr>
    </w:tbl>
    <w:p w14:paraId="1A23FDD8" w14:textId="77777777" w:rsidR="00630ECD" w:rsidRDefault="00630ECD"/>
    <w:sectPr w:rsidR="00630ECD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270"/>
    <w:rsid w:val="0001034A"/>
    <w:rsid w:val="0002187D"/>
    <w:rsid w:val="00025462"/>
    <w:rsid w:val="00033D67"/>
    <w:rsid w:val="00066DC2"/>
    <w:rsid w:val="00074456"/>
    <w:rsid w:val="00093D47"/>
    <w:rsid w:val="000C4FF8"/>
    <w:rsid w:val="000C607B"/>
    <w:rsid w:val="000D7E17"/>
    <w:rsid w:val="0013206B"/>
    <w:rsid w:val="001405D8"/>
    <w:rsid w:val="00142043"/>
    <w:rsid w:val="00151C6C"/>
    <w:rsid w:val="0015423E"/>
    <w:rsid w:val="00182545"/>
    <w:rsid w:val="001974D5"/>
    <w:rsid w:val="001D07CD"/>
    <w:rsid w:val="001D0998"/>
    <w:rsid w:val="001E4BDF"/>
    <w:rsid w:val="002109E1"/>
    <w:rsid w:val="00210ED2"/>
    <w:rsid w:val="00277DDF"/>
    <w:rsid w:val="002A3270"/>
    <w:rsid w:val="002D1E26"/>
    <w:rsid w:val="002D5EA5"/>
    <w:rsid w:val="002E4026"/>
    <w:rsid w:val="002E4FCD"/>
    <w:rsid w:val="002F0A2B"/>
    <w:rsid w:val="002F0B81"/>
    <w:rsid w:val="002F2443"/>
    <w:rsid w:val="002F6592"/>
    <w:rsid w:val="00326677"/>
    <w:rsid w:val="00327FED"/>
    <w:rsid w:val="00334B5A"/>
    <w:rsid w:val="0035777B"/>
    <w:rsid w:val="003C785B"/>
    <w:rsid w:val="003F1DF7"/>
    <w:rsid w:val="00402ED2"/>
    <w:rsid w:val="004041F5"/>
    <w:rsid w:val="0043188E"/>
    <w:rsid w:val="0044172A"/>
    <w:rsid w:val="00445810"/>
    <w:rsid w:val="00486B81"/>
    <w:rsid w:val="004B474B"/>
    <w:rsid w:val="004E02CE"/>
    <w:rsid w:val="00524A65"/>
    <w:rsid w:val="00541C72"/>
    <w:rsid w:val="00550BC5"/>
    <w:rsid w:val="00567FB1"/>
    <w:rsid w:val="005764C9"/>
    <w:rsid w:val="00576C1E"/>
    <w:rsid w:val="00586622"/>
    <w:rsid w:val="005D6F23"/>
    <w:rsid w:val="005D7E37"/>
    <w:rsid w:val="005E7F0D"/>
    <w:rsid w:val="005F75EA"/>
    <w:rsid w:val="00614C62"/>
    <w:rsid w:val="006159B1"/>
    <w:rsid w:val="006216EE"/>
    <w:rsid w:val="00630ECD"/>
    <w:rsid w:val="006459E0"/>
    <w:rsid w:val="006544EF"/>
    <w:rsid w:val="00655144"/>
    <w:rsid w:val="00661B2A"/>
    <w:rsid w:val="00666BCC"/>
    <w:rsid w:val="0069528E"/>
    <w:rsid w:val="006A74DF"/>
    <w:rsid w:val="006D1FED"/>
    <w:rsid w:val="006E341E"/>
    <w:rsid w:val="006F081B"/>
    <w:rsid w:val="00711D57"/>
    <w:rsid w:val="007162E7"/>
    <w:rsid w:val="00723A4E"/>
    <w:rsid w:val="007518E1"/>
    <w:rsid w:val="00770061"/>
    <w:rsid w:val="00770E7F"/>
    <w:rsid w:val="007A4048"/>
    <w:rsid w:val="007B3915"/>
    <w:rsid w:val="007C5EC5"/>
    <w:rsid w:val="00830FC1"/>
    <w:rsid w:val="00857F2A"/>
    <w:rsid w:val="0089001D"/>
    <w:rsid w:val="008B3A3C"/>
    <w:rsid w:val="008C706A"/>
    <w:rsid w:val="008F4711"/>
    <w:rsid w:val="008F5845"/>
    <w:rsid w:val="00914C8E"/>
    <w:rsid w:val="009B08FC"/>
    <w:rsid w:val="009B627F"/>
    <w:rsid w:val="009C1C42"/>
    <w:rsid w:val="009C4701"/>
    <w:rsid w:val="009D57A8"/>
    <w:rsid w:val="00A62BE2"/>
    <w:rsid w:val="00A67ED8"/>
    <w:rsid w:val="00A858BA"/>
    <w:rsid w:val="00A9554D"/>
    <w:rsid w:val="00B01388"/>
    <w:rsid w:val="00B0625F"/>
    <w:rsid w:val="00B20F27"/>
    <w:rsid w:val="00B66321"/>
    <w:rsid w:val="00BA2176"/>
    <w:rsid w:val="00BB47B1"/>
    <w:rsid w:val="00BE7E52"/>
    <w:rsid w:val="00BF0DB5"/>
    <w:rsid w:val="00C17AA5"/>
    <w:rsid w:val="00C20819"/>
    <w:rsid w:val="00C30386"/>
    <w:rsid w:val="00C34000"/>
    <w:rsid w:val="00C51AB2"/>
    <w:rsid w:val="00C53ADA"/>
    <w:rsid w:val="00C76207"/>
    <w:rsid w:val="00C77C81"/>
    <w:rsid w:val="00C830BB"/>
    <w:rsid w:val="00C90718"/>
    <w:rsid w:val="00CB1A0F"/>
    <w:rsid w:val="00CB35EE"/>
    <w:rsid w:val="00CD507C"/>
    <w:rsid w:val="00CE4C32"/>
    <w:rsid w:val="00D013E1"/>
    <w:rsid w:val="00D02027"/>
    <w:rsid w:val="00D532AF"/>
    <w:rsid w:val="00D84F2D"/>
    <w:rsid w:val="00D914A8"/>
    <w:rsid w:val="00DD73AA"/>
    <w:rsid w:val="00DE614F"/>
    <w:rsid w:val="00E428B9"/>
    <w:rsid w:val="00E57437"/>
    <w:rsid w:val="00E66D53"/>
    <w:rsid w:val="00EB0F49"/>
    <w:rsid w:val="00ED031F"/>
    <w:rsid w:val="00EE2094"/>
    <w:rsid w:val="00F13935"/>
    <w:rsid w:val="00F46422"/>
    <w:rsid w:val="00F57B57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AC2A0"/>
  <w15:chartTrackingRefBased/>
  <w15:docId w15:val="{A35F38C8-5EC9-4A9C-8DD8-19A6E4FC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9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formularz-kontaktow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11" Type="http://schemas.openxmlformats.org/officeDocument/2006/relationships/hyperlink" Target="https://www.google.pl/search?q=biuro+generalnego+inspektora+ochrony+danych+osobowych+telefon&amp;sa=X&amp;ved=0ahUKEwjglejVso7bAhXDCiwKHYlpCKsQ6BMI3gEwFA" TargetMode="External"/><Relationship Id="rId5" Type="http://schemas.openxmlformats.org/officeDocument/2006/relationships/hyperlink" Target="https://www.gov.pl/cyfryzacja/kontakt" TargetMode="External"/><Relationship Id="rId10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p.legalis.pl/document-view.seam?documentId=mfrxilrrgyydimztgm3d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cp:keywords/>
  <dc:description/>
  <cp:lastModifiedBy>a.piatkowska</cp:lastModifiedBy>
  <cp:revision>2</cp:revision>
  <cp:lastPrinted>2019-03-13T11:18:00Z</cp:lastPrinted>
  <dcterms:created xsi:type="dcterms:W3CDTF">2019-07-16T11:43:00Z</dcterms:created>
  <dcterms:modified xsi:type="dcterms:W3CDTF">2019-07-16T11:43:00Z</dcterms:modified>
</cp:coreProperties>
</file>